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FB2EF9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</w:t>
            </w:r>
            <w:proofErr w:type="gramEnd"/>
            <w:r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 高雄市政府社會局家庭暴力及</w:t>
            </w:r>
            <w:r w:rsidR="00895860"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B2EF9" w:rsidRDefault="00895860" w:rsidP="00FB2EF9">
            <w:pPr>
              <w:spacing w:line="400" w:lineRule="exact"/>
              <w:jc w:val="both"/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電話：</w:t>
            </w:r>
            <w:r w:rsidR="00FB2EF9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07-5355920       </w:t>
            </w:r>
            <w:bookmarkStart w:id="0" w:name="_GoBack"/>
            <w:bookmarkEnd w:id="0"/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傳真：</w:t>
            </w:r>
            <w:r w:rsidR="00FB2EF9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07-3356203</w:t>
            </w:r>
          </w:p>
          <w:p w:rsidR="00895860" w:rsidRPr="002B50D1" w:rsidRDefault="00FB2EF9" w:rsidP="00FB2EF9">
            <w:pPr>
              <w:spacing w:line="400" w:lineRule="exact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447EA6">
              <w:rPr>
                <w:rFonts w:ascii="細明體" w:eastAsia="細明體" w:hint="eastAsia"/>
                <w:b/>
                <w:bCs/>
                <w:color w:val="000000" w:themeColor="text1"/>
                <w:sz w:val="20"/>
                <w:szCs w:val="20"/>
              </w:rPr>
              <w:t>線上通報</w:t>
            </w:r>
            <w:proofErr w:type="gramEnd"/>
            <w:r w:rsidRPr="00447EA6">
              <w:rPr>
                <w:rFonts w:ascii="細明體" w:eastAsia="細明體" w:hint="eastAsia"/>
                <w:b/>
                <w:bCs/>
                <w:color w:val="000000" w:themeColor="text1"/>
                <w:sz w:val="20"/>
                <w:szCs w:val="20"/>
              </w:rPr>
              <w:t>網址</w:t>
            </w:r>
            <w:hyperlink r:id="rId9" w:history="1">
              <w:r w:rsidRPr="00D6368F">
                <w:rPr>
                  <w:rStyle w:val="af4"/>
                  <w:rFonts w:ascii="細明體" w:eastAsia="細明體" w:hint="eastAsia"/>
                  <w:b/>
                  <w:bCs/>
                  <w:sz w:val="20"/>
                  <w:szCs w:val="20"/>
                </w:rPr>
                <w:t>https://ecare.mohw.gov.tw/</w:t>
              </w:r>
            </w:hyperlink>
            <w:r>
              <w:rPr>
                <w:rFonts w:ascii="細明體" w:eastAsia="細明體" w:hint="eastAsia"/>
                <w:b/>
                <w:bCs/>
                <w:color w:val="000000" w:themeColor="text1"/>
                <w:sz w:val="20"/>
                <w:szCs w:val="20"/>
              </w:rPr>
              <w:t xml:space="preserve"> (關懷E起來)</w:t>
            </w:r>
            <w:r w:rsidR="00895860"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</w:t>
            </w:r>
            <w:proofErr w:type="gramEnd"/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衛政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勞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2B50D1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施</w:t>
            </w:r>
            <w:proofErr w:type="gramStart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)( 是否住院治療：□是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事人員請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加填兒少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保護</w:t>
            </w:r>
            <w:proofErr w:type="gramStart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摔毀物品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</w:rPr>
              <w:t>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2B50D1">
              <w:rPr>
                <w:rFonts w:hint="eastAsia"/>
                <w:color w:val="000000" w:themeColor="text1"/>
              </w:rPr>
              <w:t>採</w:t>
            </w:r>
            <w:proofErr w:type="gramEnd"/>
            <w:r w:rsidRPr="002B50D1">
              <w:rPr>
                <w:rFonts w:hint="eastAsia"/>
                <w:color w:val="000000" w:themeColor="text1"/>
              </w:rPr>
              <w:t>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或對兒少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的傷為意外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且兒少</w:t>
            </w:r>
            <w:proofErr w:type="gramEnd"/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ㄧ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致，但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但兒少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：習慣性使用體罰、即將或已出現可能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對兒少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</w:t>
            </w:r>
            <w:proofErr w:type="gramStart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疾病或藥酒癮</w:t>
            </w:r>
            <w:proofErr w:type="gramEnd"/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所致或惡化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兒少因住家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致兒少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使兒少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坐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檯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性霸凌。</w:t>
            </w:r>
            <w:proofErr w:type="gramEnd"/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遭家外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</w:t>
            </w:r>
            <w:proofErr w:type="gramStart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侍</w:t>
            </w:r>
            <w:proofErr w:type="gramEnd"/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CCC6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10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</w:t>
      </w:r>
      <w:proofErr w:type="gramStart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醫</w:t>
      </w:r>
      <w:proofErr w:type="gramEnd"/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t>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是□否小於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周圍□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</w:t>
            </w:r>
            <w:proofErr w:type="gramStart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□否兩歲</w:t>
            </w:r>
            <w:proofErr w:type="gramEnd"/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63" w:rsidRDefault="00FB7F63" w:rsidP="00362BDB">
      <w:r>
        <w:separator/>
      </w:r>
    </w:p>
  </w:endnote>
  <w:endnote w:type="continuationSeparator" w:id="0">
    <w:p w:rsidR="00FB7F63" w:rsidRDefault="00FB7F63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EF9" w:rsidRPr="00FB2EF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63" w:rsidRDefault="00FB7F63" w:rsidP="00362BDB">
      <w:r>
        <w:separator/>
      </w:r>
    </w:p>
  </w:footnote>
  <w:footnote w:type="continuationSeparator" w:id="0">
    <w:p w:rsidR="00FB7F63" w:rsidRDefault="00FB7F63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2EF9"/>
    <w:rsid w:val="00FB3D4B"/>
    <w:rsid w:val="00FB6EEC"/>
    <w:rsid w:val="00FB7F63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FB2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FB2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are.mohw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0FA1-6F91-4F47-B477-39F66342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314160</cp:lastModifiedBy>
  <cp:revision>3</cp:revision>
  <cp:lastPrinted>2018-11-29T01:53:00Z</cp:lastPrinted>
  <dcterms:created xsi:type="dcterms:W3CDTF">2019-04-30T03:19:00Z</dcterms:created>
  <dcterms:modified xsi:type="dcterms:W3CDTF">2019-05-06T03:54:00Z</dcterms:modified>
</cp:coreProperties>
</file>